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left="280"/>
      </w:pPr>
      <w:bookmarkStart w:id="1" w:name="bookmark1"/>
      <w:r>
        <w:t xml:space="preserve">Перечень стран, неблагополучных по инфекционным заболеваниям,</w:t>
      </w:r>
      <w:bookmarkEnd w:id="1"/>
    </w:p>
    <w:p>
      <w:pPr>
        <w:pStyle w:val="Style3"/>
        <w:keepNext/>
        <w:keepLines/>
        <w:shd w:val="clear" w:color="auto" w:fill="auto"/>
        <w:ind w:left="280"/>
      </w:pPr>
      <w:bookmarkStart w:id="2" w:name="bookmark2"/>
      <w:r>
        <w:t xml:space="preserve">которые могут представлять чрезвычайную ситуацию в области общественного здравоохранения, имеющую международное значение</w:t>
      </w:r>
      <w:bookmarkEnd w:id="2"/>
    </w:p>
    <w:p>
      <w:pPr>
        <w:pStyle w:val="Style3"/>
        <w:keepNext/>
        <w:keepLines/>
        <w:shd w:val="clear" w:color="auto" w:fill="auto"/>
        <w:ind w:left="280"/>
        <w:spacing w:after="243"/>
      </w:pPr>
      <w:bookmarkStart w:id="3" w:name="bookmark3"/>
      <w:r>
        <w:t xml:space="preserve">(по состоянию на 28.03.2025)</w:t>
      </w:r>
      <w:bookmarkEnd w:id="3"/>
    </w:p>
    <w:tbl>
      <w:tblPr>
        <w:tblLayout w:type="fixed"/>
        <w:jc w:val="center"/>
      </w:tblPr>
      <w:tblGrid>
        <w:gridCol w:w="2726"/>
        <w:gridCol w:w="2400"/>
        <w:gridCol w:w="4574"/>
      </w:tblGrid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Инфекционное</w:t>
            </w:r>
          </w:p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заболевание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Регион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60"/>
              <w:spacing w:line="240" w:lineRule="auto"/>
            </w:pPr>
            <w:r>
              <w:t xml:space="preserve">Страны</w:t>
            </w:r>
          </w:p>
        </w:tc>
      </w:tr>
      <w:tr>
        <w:trPr>
          <w:trHeight w:val="1277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Чума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Африка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35" w:lineRule="exact"/>
            </w:pPr>
            <w:r>
              <w:t xml:space="preserve">Демократическая Республика Конго (ДРК), Мадагаскар, Танзания, Уганда, Ангола, Ботсвана, Зимбабве, Кения, Лесото, Мозамбик, Намибия, Эсватини, Южно- Африканская Республика (ЮАР)</w:t>
            </w:r>
          </w:p>
        </w:tc>
      </w:tr>
      <w:tr>
        <w:trPr>
          <w:trHeight w:val="42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Азия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Китай, Монголия, Вьетнам</w:t>
            </w:r>
          </w:p>
        </w:tc>
      </w:tr>
      <w:tr>
        <w:trPr>
          <w:trHeight w:val="5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Американский регион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exact"/>
            </w:pPr>
            <w:r>
              <w:t xml:space="preserve">Перу, Боливия, США, Аргентина, Бразилия, Венесуэла, Эквадор</w:t>
            </w:r>
          </w:p>
        </w:tc>
      </w:tr>
      <w:tr>
        <w:trPr>
          <w:trHeight w:val="1819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74" w:lineRule="exact"/>
            </w:pPr>
            <w:r>
              <w:t xml:space="preserve">Лихорадка Рифт-Валли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Африка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35" w:lineRule="exact"/>
            </w:pPr>
            <w:r>
              <w:t xml:space="preserve">страны Северной Африки и территории к югу от Сахары в т.ч. Алжир, Ботсвана, Египет, Лесото, Ливия, Марокко, Намибия, Эсватини, Тунис, Майотта, ЮАР, Центральноафриканская Республика, Мавритания, о. Мадагаскар, Уганда, Кения, Сенегал, Коморские острова</w:t>
            </w:r>
          </w:p>
        </w:tc>
      </w:tr>
      <w:tr>
        <w:trPr>
          <w:trHeight w:val="37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Азия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Йемен, Саудовская Аравия</w:t>
            </w:r>
          </w:p>
        </w:tc>
      </w:tr>
      <w:tr>
        <w:trPr>
          <w:trHeight w:val="105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Лихорадка Эбола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Африка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35" w:lineRule="exact"/>
            </w:pPr>
            <w:r>
              <w:t xml:space="preserve">Уганда (случаи заболевания, вызванные суданским вирусом, регистрировались в 2025 г.), другие эндемичные страны: ДРК, Гвинея</w:t>
            </w:r>
          </w:p>
        </w:tc>
      </w:tr>
      <w:tr>
        <w:trPr>
          <w:trHeight w:val="156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Лихорадка Марбург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Африка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exact"/>
            </w:pPr>
            <w:r>
              <w:t xml:space="preserve">Танзания (случаи заболевания регистрировались в 2025 г.), Руанда (случаи заболевания регистрировались в 2024 г.), другие эндемичные страны: ДРК, Уганда, Ангола, Конго, Экваториальная Гвинея, Камерун</w:t>
            </w:r>
          </w:p>
        </w:tc>
      </w:tr>
      <w:tr>
        <w:trPr>
          <w:trHeight w:val="113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Лихорадка Ласса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Западная Африка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35" w:lineRule="exact"/>
            </w:pPr>
            <w:r>
              <w:t xml:space="preserve">Нигерия, Бенин, Того, Сьерра-Леоне, Мали, Либерия, Гвинея, Гана, Буркина-Фасо, Мозамбик, Сенегал, Центральноафриканская Республика, Конго</w:t>
            </w:r>
          </w:p>
        </w:tc>
      </w:tr>
      <w:tr>
        <w:trPr>
          <w:trHeight w:val="113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Оспа обезьян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after="180" w:line="274" w:lineRule="exact"/>
            </w:pPr>
            <w:r>
              <w:t xml:space="preserve">Западная и Центральная Африка</w:t>
            </w:r>
          </w:p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before="180" w:line="240" w:lineRule="auto"/>
            </w:pPr>
            <w:r>
              <w:t xml:space="preserve">(эндемичные страны)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35" w:lineRule="exact"/>
            </w:pPr>
            <w:r>
              <w:t xml:space="preserve">ДРК, Бенин, Габон, Гана, Кот-д'Ивуар, Конго, Камерун, Центральноафриканская Республика, Нигерия, Либерия, Сьерра- Леоне, Южный Судан</w:t>
            </w:r>
          </w:p>
        </w:tc>
      </w:tr>
      <w:tr>
        <w:trPr>
          <w:trHeight w:val="1392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74" w:lineRule="exact"/>
            </w:pPr>
            <w:r>
              <w:t xml:space="preserve">Менингококковая инфекция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74" w:lineRule="exact"/>
            </w:pPr>
            <w:r>
              <w:t xml:space="preserve">Африка (страны «менингитного пояса»)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35" w:lineRule="exact"/>
            </w:pPr>
            <w:r>
              <w:t xml:space="preserve">Бенин, Буркина-Фасо, Гамбия, Гана, Гвинея, ДРК, Камерун, Кот д'Ивуар, Мавритания, Мали, Нигер, Нигерия, Сенегал, Того, Центральноафриканская Республика, Чад, Эфиопия, Южный Судан</w:t>
            </w:r>
          </w:p>
        </w:tc>
      </w:tr>
      <w:tr>
        <w:trPr>
          <w:trHeight w:val="384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Австралия и Океания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о. Фиджи</w:t>
            </w:r>
          </w:p>
        </w:tc>
      </w:tr>
      <w:tr>
        <w:trPr>
          <w:trHeight w:val="161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Лихорадка денге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Азия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exact"/>
            </w:pPr>
            <w:r>
              <w:t xml:space="preserve">Таиланд, Вьетнам, Малайзия, Камбоджа, Филиппины, Лаос, Афганистан, Сингапур, Китай, Индонезия, Япония, Мьянма, Гонконг, Бали, Тимор-Лешти, Индия, Шри-Ланка, Пакистан, Йемен, Бангладеш, Бутан, Непал, Тайвань, Иран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722"/>
        <w:gridCol w:w="2400"/>
        <w:gridCol w:w="4574"/>
      </w:tblGrid>
      <w:tr>
        <w:trPr>
          <w:trHeight w:val="52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Европа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Испания, Италия, Франция, Хорватия, Греция</w:t>
            </w:r>
          </w:p>
        </w:tc>
      </w:tr>
      <w:tr>
        <w:trPr>
          <w:trHeight w:val="744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exact"/>
            </w:pPr>
            <w:r>
              <w:t xml:space="preserve">Ближний Восток и</w:t>
            </w:r>
          </w:p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exact"/>
            </w:pPr>
            <w:r>
              <w:t xml:space="preserve">Восточное</w:t>
            </w:r>
          </w:p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exact"/>
            </w:pPr>
            <w:r>
              <w:t xml:space="preserve">Средиземноморье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Саудовская Аравия, Джибути, Оман</w:t>
            </w:r>
          </w:p>
        </w:tc>
      </w:tr>
      <w:tr>
        <w:trPr>
          <w:trHeight w:val="1709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Океания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exact"/>
            </w:pPr>
            <w:r>
              <w:t xml:space="preserve">Папуа-Новая Гвинея, Соломоновы острова, Новая Каледония, Острова Кука, Фиджи, Вануату, Австралия, о-ва Токелау, Тонгу, Тувалу, Французская Полинезия, Маршалловы острова, Гавайи, Микронезия, Палау, Самоа, Уоллис и Футуна, Новая Зеландия</w:t>
            </w:r>
          </w:p>
        </w:tc>
      </w:tr>
      <w:tr>
        <w:trPr>
          <w:trHeight w:val="3394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exact"/>
            </w:pPr>
            <w:r>
              <w:t xml:space="preserve">Америка, страны Карибского бассейна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35" w:lineRule="exact"/>
            </w:pPr>
            <w:r>
              <w:t xml:space="preserve">Коста-Рика, Мексика, Сальвадор, Гондурас, Гватемала, Пуэрто-Рико, США, Белиз, Панама, Аргентина, Перу, Колумбия, Куба Боливия, Бразилия, Венесуэла, Парагвай, Доминиканская Республика, Гваделупа, Ямайка, Уругвай, Мальдивская Республика, Багамские о-ва, Терке и Кайкос, Никарагуа, Виргинские о-ва, Антигуа и Барбуда, Эквадор, Куба, Сен-Мартен, Сент-Люсия, Аруба, Бермудские острова, Барбадос, о-ва Тринидад и Тобаго, Гренада, Сент-Винсент и Гренадины, Суринам, Гайана, Чили, Сент- Китс и Невис</w:t>
            </w:r>
          </w:p>
        </w:tc>
      </w:tr>
      <w:tr>
        <w:trPr>
          <w:trHeight w:val="226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Африка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35" w:lineRule="exact"/>
            </w:pPr>
            <w:r>
              <w:t xml:space="preserve">Ангола, Египет, Кот д' Ивуар, Мозамбик, Мали, Кения, Майотта, о. Мадагаскар, о. Реюньон, Республика Кабо-Верде, Танзания, Тунис, Сомали, Судан, Эритрея, Сан-Томе и Принсипи, Сенегал, Чад. Эфиопия, Гана, Нигер, Нигерия, Гвинея, Того, Буркина-Фасо, о. Маврикий, Чад, Центральноафриканская Республика, Сейшельские острова</w:t>
            </w:r>
          </w:p>
        </w:tc>
      </w:tr>
      <w:tr>
        <w:trPr>
          <w:trHeight w:val="111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40" w:lineRule="exact"/>
            </w:pPr>
            <w:r>
              <w:t xml:space="preserve">Коронавирус ближневосточного респираторного синдрома (БВРС-КоВ)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Ближний Восток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Саудовская Аравия, ОАЭ, Катар, Оман</w:t>
            </w:r>
          </w:p>
        </w:tc>
      </w:tr>
      <w:tr>
        <w:trPr>
          <w:trHeight w:val="142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Холера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Африка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exact"/>
            </w:pPr>
            <w:r>
              <w:t xml:space="preserve">ДРК, Танзания, Кения, Замбия, Малави, Мозамбик, Уганда, Нигерия, Сомали, Бенин, Бурунди, Зимбабве, Южный Судан, Гана, Нигер, Того, Камерун, Эфиопия, Судан, ЮАР, Конго, Коморские острова</w:t>
            </w:r>
          </w:p>
        </w:tc>
      </w:tr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35" w:lineRule="exact"/>
            </w:pPr>
            <w:r>
              <w:t xml:space="preserve">Америка и страны Карибского бассейна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30" w:lineRule="exact"/>
            </w:pPr>
            <w:r>
              <w:t xml:space="preserve">Гаити, Эквадор, Гайана, Перу, Доминиканская Республика</w:t>
            </w:r>
          </w:p>
        </w:tc>
      </w:tr>
      <w:tr>
        <w:trPr>
          <w:trHeight w:val="379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Южная Азия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Индия, Непал, Бангладеш, Пакистан</w:t>
            </w:r>
          </w:p>
        </w:tc>
      </w:tr>
      <w:tr>
        <w:trPr>
          <w:trHeight w:val="552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Юго-восточная Азия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exact"/>
            </w:pPr>
            <w:r>
              <w:t xml:space="preserve">Мьянма, Сингапур, Филиппины, Малайзия, Камбоджа, Таиланд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Центральная Азия.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Йемен, Афганистан</w:t>
            </w:r>
          </w:p>
        </w:tc>
      </w:tr>
      <w:tr>
        <w:trPr>
          <w:trHeight w:val="403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Ближний Восток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Ирак, Сирия, Ливан</w:t>
            </w:r>
          </w:p>
        </w:tc>
      </w:tr>
      <w:tr>
        <w:trPr>
          <w:trHeight w:val="442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right"/>
              <w:ind w:right="800"/>
              <w:spacing w:line="302" w:lineRule="exact"/>
            </w:pPr>
            <w:r>
              <w:t xml:space="preserve">Лихорадка Чикунгунья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Африка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Кения, Судан, Эфиопия, Буркина-Фасо</w:t>
            </w:r>
          </w:p>
        </w:tc>
      </w:tr>
      <w:tr>
        <w:trPr>
          <w:trHeight w:val="55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Азия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35" w:lineRule="exact"/>
            </w:pPr>
            <w:r>
              <w:t xml:space="preserve">Индия, Малайзия, Таиланд, Филиппины Тимор-Лепгги, Пакистан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Американский регион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40"/>
              <w:spacing w:line="235" w:lineRule="exact"/>
            </w:pPr>
            <w:r>
              <w:t xml:space="preserve">Аргентина, Боливия, Бразилия, Парагвай, Перу, Белиз, Коста-Рика</w:t>
            </w:r>
          </w:p>
        </w:tc>
      </w:tr>
    </w:tbl>
    <w:p>
      <w:pPr>
        <w:rPr>
          <w:sz w:val="2"/>
          <w:szCs w:val="2"/>
        </w:rPr>
      </w:pPr>
      <w:r>
        <w:br w:type="page"/>
      </w:r>
    </w:p>
    <w:p>
      <w:pPr>
        <w:pStyle w:val="Style3"/>
        <w:keepNext/>
        <w:keepLines/>
        <w:shd w:val="clear" w:color="auto" w:fill="auto"/>
        <w:jc w:val="left"/>
        <w:ind w:left="860"/>
        <w:spacing w:after="301" w:line="270" w:lineRule="exact"/>
      </w:pPr>
      <w:bookmarkStart w:id="4" w:name="bookmark4"/>
      <w:r>
        <w:t xml:space="preserve">АФРИКА</w:t>
      </w:r>
      <w:bookmarkEnd w:id="4"/>
    </w:p>
    <w:p>
      <w:pPr>
        <w:pStyle w:val="Style11"/>
        <w:shd w:val="clear" w:color="auto" w:fill="auto"/>
        <w:spacing w:before="0"/>
      </w:pPr>
      <w:r>
        <w:t xml:space="preserve">Ангола, Бенин, Бурунди, Буркина-Фассо,</w:t>
      </w:r>
    </w:p>
    <w:p>
      <w:pPr>
        <w:pStyle w:val="Style11"/>
        <w:shd w:val="clear" w:color="auto" w:fill="auto"/>
        <w:spacing w:before="0"/>
      </w:pPr>
      <w:r>
        <w:t xml:space="preserve">Габон, Гамбия Гана, Гвинея, Гвинея-Бисау,</w:t>
      </w:r>
    </w:p>
    <w:p>
      <w:pPr>
        <w:pStyle w:val="Style11"/>
        <w:shd w:val="clear" w:color="auto" w:fill="auto"/>
        <w:spacing w:before="0"/>
      </w:pPr>
      <w:r>
        <w:t xml:space="preserve">Джибути, Замбия, ДРК, Камерун, Конго,</w:t>
      </w:r>
    </w:p>
    <w:p>
      <w:pPr>
        <w:pStyle w:val="Style11"/>
        <w:tabs>
          <w:tab w:leader="none" w:pos="6115" w:val="left"/>
        </w:tabs>
        <w:shd w:val="clear" w:color="auto" w:fill="auto"/>
        <w:spacing w:before="0"/>
      </w:pPr>
      <w:r>
        <w:t xml:space="preserve">Кения, Коморские острова, Либерия,</w:t>
        <w:tab/>
        <w:t xml:space="preserve">Повсеместно</w:t>
      </w:r>
    </w:p>
    <w:p>
      <w:pPr>
        <w:pStyle w:val="Style11"/>
        <w:shd w:val="clear" w:color="auto" w:fill="auto"/>
        <w:spacing w:before="0"/>
      </w:pPr>
      <w:r>
        <w:t xml:space="preserve">Мавритания, Мадагаскар, Малави, Мали,</w:t>
      </w:r>
    </w:p>
    <w:p>
      <w:pPr>
        <w:pStyle w:val="Style11"/>
        <w:shd w:val="clear" w:color="auto" w:fill="auto"/>
        <w:spacing w:before="0"/>
      </w:pPr>
      <w:r>
        <w:t xml:space="preserve">Майотта, Мозамбик, Нигер, Нигерия,</w:t>
      </w:r>
    </w:p>
    <w:p>
      <w:pPr>
        <w:pStyle w:val="Style11"/>
        <w:shd w:val="clear" w:color="auto" w:fill="auto"/>
        <w:spacing w:before="0"/>
      </w:pPr>
      <w:r>
        <w:t xml:space="preserve">Руанда, Сан-Томе и Принсипи, Сенегал,</w:t>
      </w:r>
    </w:p>
    <w:p>
      <w:pPr>
        <w:pStyle w:val="Style11"/>
        <w:shd w:val="clear" w:color="auto" w:fill="auto"/>
        <w:spacing w:before="0"/>
      </w:pPr>
      <w:r>
        <w:t xml:space="preserve">Сомали, Судан, Южный Судан, Сьерра-</w:t>
      </w:r>
    </w:p>
    <w:p>
      <w:pPr>
        <w:pStyle w:val="Style11"/>
        <w:shd w:val="clear" w:color="auto" w:fill="auto"/>
        <w:spacing w:before="0"/>
      </w:pPr>
      <w:r>
        <w:t xml:space="preserve">Леоне, Танзания, Того, Уганда, ЦАР, Чад,</w:t>
      </w:r>
    </w:p>
    <w:p>
      <w:pPr>
        <w:pStyle w:val="Style3"/>
        <w:framePr w:h="283" w:wrap="notBeside" w:hAnchor="margin" w:x="2071" w:y="30"/>
        <w:keepNext/>
        <w:keepLines/>
        <w:shd w:val="clear" w:color="auto" w:fill="auto"/>
        <w:jc w:val="left"/>
        <w:spacing w:line="270" w:lineRule="exact"/>
      </w:pPr>
      <w:bookmarkStart w:id="0" w:name="bookmark0"/>
      <w:r>
        <w:t xml:space="preserve">Перечень эндемичных по малярии стран</w:t>
      </w:r>
      <w:bookmarkEnd w:id="0"/>
    </w:p>
    <w:p>
      <w:pPr>
        <w:pStyle w:val="Style11"/>
        <w:shd w:val="clear" w:color="auto" w:fill="auto"/>
        <w:spacing w:before="0"/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060" w:left="1863" w:right="332" w:bottom="748" w:header="0" w:footer="3" w:gutter="0"/>
          <w:cols w:space="720"/>
          <w:noEndnote/>
          <w:docGrid w:linePitch="360"/>
        </w:sectPr>
      </w:pPr>
      <w:r>
        <w:t xml:space="preserve">Эсватини, Экв. Гвинея, Эритрея, Эфиопия.</w:t>
      </w:r>
    </w:p>
    <w:p>
      <w:pPr>
        <w:framePr w:w="11933" w:h="32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1"/>
        <w:shd w:val="clear" w:color="auto" w:fill="auto"/>
        <w:jc w:val="both"/>
        <w:spacing w:before="0" w:after="360"/>
      </w:pPr>
      <w:r>
        <w:t xml:space="preserve">Ботсвана, Зимбабве, Кабо-Верде, Марокко, Намибия, ЮАР.</w:t>
      </w:r>
    </w:p>
    <w:p>
      <w:pPr>
        <w:pStyle w:val="Style3"/>
        <w:keepNext/>
        <w:keepLines/>
        <w:shd w:val="clear" w:color="auto" w:fill="auto"/>
        <w:jc w:val="left"/>
        <w:ind w:left="840"/>
        <w:spacing w:line="322" w:lineRule="exact"/>
      </w:pPr>
      <w:bookmarkStart w:id="5" w:name="bookmark5"/>
      <w:r>
        <w:t xml:space="preserve">АЗИЯ и ЕВРОПА</w:t>
      </w:r>
      <w:bookmarkEnd w:id="5"/>
    </w:p>
    <w:p>
      <w:pPr>
        <w:pStyle w:val="Style11"/>
        <w:shd w:val="clear" w:color="auto" w:fill="auto"/>
        <w:jc w:val="both"/>
        <w:spacing w:before="0"/>
      </w:pPr>
      <w:r>
        <w:t xml:space="preserve">Бангладеш, Бутан, Вьетнам, Индия, Индонезия, Йемен, Камбоджа, Лаос, Непал, Оман, Пакистан, Тимор-Лешти, Филиппины.</w:t>
      </w:r>
    </w:p>
    <w:p>
      <w:pPr>
        <w:pStyle w:val="Style11"/>
        <w:shd w:val="clear" w:color="auto" w:fill="auto"/>
        <w:jc w:val="both"/>
        <w:ind w:left="20" w:right="60"/>
        <w:spacing w:before="0" w:after="705" w:line="326" w:lineRule="exact"/>
      </w:pPr>
      <w:r>
        <w:t xml:space="preserve">Риск заражения малярией на отдельных территориях</w:t>
      </w:r>
    </w:p>
    <w:p>
      <w:pPr>
        <w:pStyle w:val="Style11"/>
        <w:shd w:val="clear" w:color="auto" w:fill="auto"/>
        <w:jc w:val="both"/>
        <w:ind w:left="20"/>
        <w:spacing w:before="0" w:line="270" w:lineRule="exact"/>
        <w:sectPr>
          <w:type w:val="continuous"/>
          <w:pgSz w:w="11905" w:h="16837"/>
          <w:pgMar w:top="1115" w:left="2112" w:right="384" w:bottom="2680" w:header="0" w:footer="3" w:gutter="0"/>
          <w:cols w:num="2" w:space="720" w:equalWidth="0">
            <w:col w:w="5170" w:space="922"/>
            <w:col w:w="3317"/>
          </w:cols>
          <w:noEndnote/>
          <w:docGrid w:linePitch="360"/>
        </w:sectPr>
      </w:pPr>
      <w:r>
        <w:t xml:space="preserve">Повсеместно</w:t>
      </w:r>
    </w:p>
    <w:p>
      <w:pPr>
        <w:framePr w:w="11933" w:h="659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1"/>
        <w:shd w:val="clear" w:color="auto" w:fill="auto"/>
        <w:jc w:val="both"/>
        <w:spacing w:before="0" w:after="60"/>
      </w:pPr>
      <w:r>
        <w:t xml:space="preserve">Афганистан, Таиланд, Иран, Ирак, КНДР, Южная Корея, Малайзия, Мьянма, Саудовская Аравия, Сирия.</w:t>
      </w:r>
    </w:p>
    <w:p>
      <w:pPr>
        <w:pStyle w:val="Style3"/>
        <w:keepNext/>
        <w:keepLines/>
        <w:shd w:val="clear" w:color="auto" w:fill="auto"/>
        <w:jc w:val="left"/>
        <w:ind w:left="860"/>
        <w:spacing w:line="322" w:lineRule="exact"/>
      </w:pPr>
      <w:bookmarkStart w:id="6" w:name="bookmark6"/>
      <w:r>
        <w:t xml:space="preserve">ОКЕАНИЯ</w:t>
      </w:r>
      <w:bookmarkEnd w:id="6"/>
    </w:p>
    <w:p>
      <w:pPr>
        <w:pStyle w:val="Style11"/>
        <w:shd w:val="clear" w:color="auto" w:fill="auto"/>
        <w:jc w:val="both"/>
        <w:spacing w:before="0"/>
      </w:pPr>
      <w:r>
        <w:t xml:space="preserve">Вануату, Папуа Новая Гвинея, Соломоновы острова.</w:t>
      </w:r>
    </w:p>
    <w:p>
      <w:pPr>
        <w:pStyle w:val="Style11"/>
        <w:shd w:val="clear" w:color="auto" w:fill="auto"/>
        <w:jc w:val="both"/>
        <w:ind w:left="20" w:right="60"/>
        <w:spacing w:before="0" w:after="1058" w:line="317" w:lineRule="exact"/>
      </w:pPr>
      <w:r>
        <w:t xml:space="preserve">Риск заражения малярией на отдельных территориях</w:t>
      </w:r>
    </w:p>
    <w:p>
      <w:pPr>
        <w:pStyle w:val="Style11"/>
        <w:shd w:val="clear" w:color="auto" w:fill="auto"/>
        <w:jc w:val="both"/>
        <w:ind w:left="20"/>
        <w:spacing w:before="0" w:line="270" w:lineRule="exact"/>
        <w:sectPr>
          <w:type w:val="continuous"/>
          <w:pgSz w:w="11905" w:h="16837"/>
          <w:pgMar w:top="1115" w:left="2112" w:right="394" w:bottom="2680" w:header="0" w:footer="3" w:gutter="0"/>
          <w:cols w:num="2" w:space="720" w:equalWidth="0">
            <w:col w:w="5165" w:space="926"/>
            <w:col w:w="3307"/>
          </w:cols>
          <w:noEndnote/>
          <w:docGrid w:linePitch="360"/>
        </w:sectPr>
      </w:pPr>
      <w:r>
        <w:t xml:space="preserve">Повсеместно</w:t>
      </w:r>
    </w:p>
    <w:p>
      <w:pPr>
        <w:framePr w:w="11933" w:h="36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3"/>
        <w:keepNext/>
        <w:keepLines/>
        <w:shd w:val="clear" w:color="auto" w:fill="auto"/>
        <w:jc w:val="left"/>
        <w:ind w:left="840"/>
        <w:spacing w:line="317" w:lineRule="exact"/>
      </w:pPr>
      <w:bookmarkStart w:id="7" w:name="bookmark7"/>
      <w:r>
        <w:t xml:space="preserve">АМЕРИКА</w:t>
      </w:r>
      <w:bookmarkEnd w:id="7"/>
    </w:p>
    <w:p>
      <w:pPr>
        <w:pStyle w:val="Style11"/>
        <w:framePr w:h="270" w:wrap="around" w:vAnchor="text" w:hAnchor="margin" w:x="6023" w:y="294"/>
        <w:shd w:val="clear" w:color="auto" w:fill="auto"/>
        <w:ind w:left="100"/>
        <w:spacing w:before="0" w:line="270" w:lineRule="exact"/>
      </w:pPr>
      <w:r>
        <w:t xml:space="preserve">Повсеместно</w:t>
      </w:r>
    </w:p>
    <w:p>
      <w:pPr>
        <w:pStyle w:val="Style11"/>
        <w:tabs>
          <w:tab w:leader="none" w:pos="3854" w:val="left"/>
        </w:tabs>
        <w:shd w:val="clear" w:color="auto" w:fill="auto"/>
        <w:jc w:val="both"/>
        <w:spacing w:before="0" w:line="317" w:lineRule="exact"/>
        <w:sectPr>
          <w:type w:val="continuous"/>
          <w:pgSz w:w="11905" w:h="16837"/>
          <w:pgMar w:top="1115" w:left="2108" w:right="4628" w:bottom="2680" w:header="0" w:footer="3" w:gutter="0"/>
          <w:cols w:space="720"/>
          <w:noEndnote/>
          <w:docGrid w:linePitch="360"/>
        </w:sectPr>
      </w:pPr>
      <w:r>
        <w:t xml:space="preserve">Белиз, Боливия, Бразилия, Гаити, Гайана, Гвиана Французская, Гондурас, Доминиканская республика, Коста-Рика, Колумбия,</w:t>
        <w:tab/>
        <w:t xml:space="preserve">Никарагуа.</w:t>
      </w:r>
    </w:p>
    <w:p>
      <w:pPr>
        <w:framePr w:w="11933" w:h="317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1"/>
        <w:shd w:val="clear" w:color="auto" w:fill="auto"/>
        <w:jc w:val="both"/>
        <w:spacing w:before="0" w:line="317" w:lineRule="exact"/>
      </w:pPr>
      <w:r>
        <w:t xml:space="preserve">Гватемала, Венесуэла, Мексика, Панама, Перу, Суринам, Эквадор</w:t>
      </w:r>
    </w:p>
    <w:p>
      <w:pPr>
        <w:pStyle w:val="Style11"/>
        <w:shd w:val="clear" w:color="auto" w:fill="auto"/>
        <w:jc w:val="both"/>
        <w:ind w:left="40" w:right="60"/>
        <w:spacing w:before="0"/>
      </w:pPr>
      <w:r>
        <w:t xml:space="preserve">Риск заражения малярией на отдельных территориях</w:t>
      </w:r>
    </w:p>
    <w:sectPr>
      <w:type w:val="continuous"/>
      <w:pgSz w:w="11905" w:h="16837"/>
      <w:pgMar w:top="1115" w:left="2112" w:right="389" w:bottom="2680" w:header="0" w:footer="3" w:gutter="0"/>
      <w:cols w:num="2" w:space="720" w:equalWidth="0">
        <w:col w:w="5165" w:space="864"/>
        <w:col w:w="3374"/>
      </w:cols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10">
    <w:name w:val="Основной текст (3)_"/>
    <w:basedOn w:val="DefaultParagraphFont"/>
    <w:link w:val="Style9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Основной текст (4)_"/>
    <w:basedOn w:val="DefaultParagraphFont"/>
    <w:link w:val="Style11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3">
    <w:name w:val="Заголовок №1"/>
    <w:basedOn w:val="Normal"/>
    <w:link w:val="CharStyle4"/>
    <w:pPr>
      <w:shd w:val="clear" w:color="auto" w:fill="FFFFFF"/>
      <w:jc w:val="center"/>
      <w:outlineLvl w:val="0"/>
      <w:spacing w:line="283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ой текст (2)"/>
    <w:basedOn w:val="Normal"/>
    <w:link w:val="CharStyle6"/>
    <w:pPr>
      <w:shd w:val="clear" w:color="auto" w:fill="FFFFFF"/>
      <w:spacing w:line="0" w:lineRule="exact"/>
    </w:pPr>
    <w:rPr>
      <w:b/>
      <w:bCs/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7">
    <w:name w:val="Основной текст"/>
    <w:basedOn w:val="Normal"/>
    <w:link w:val="CharStyle8"/>
    <w:pPr>
      <w:shd w:val="clear" w:color="auto" w:fill="FFFFFF"/>
      <w:spacing w:line="0" w:lineRule="exact"/>
    </w:pPr>
    <w:rPr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9">
    <w:name w:val="Основной текст (3)"/>
    <w:basedOn w:val="Normal"/>
    <w:link w:val="CharStyle10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shd w:val="clear" w:color="auto" w:fill="FFFFFF"/>
      <w:spacing w:before="420" w:line="322" w:lineRule="exact"/>
    </w:pPr>
    <w:rPr>
      <w:sz w:val="27"/>
      <w:szCs w:val="27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